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7E09" w14:textId="77777777" w:rsidR="00505413" w:rsidRDefault="00505413">
      <w:pPr>
        <w:tabs>
          <w:tab w:val="left" w:pos="4995"/>
        </w:tabs>
      </w:pPr>
    </w:p>
    <w:tbl>
      <w:tblPr>
        <w:tblStyle w:val="TabloKlavuzu"/>
        <w:tblW w:w="10350" w:type="dxa"/>
        <w:tblInd w:w="-582" w:type="dxa"/>
        <w:tblLayout w:type="fixed"/>
        <w:tblLook w:val="04A0" w:firstRow="1" w:lastRow="0" w:firstColumn="1" w:lastColumn="0" w:noHBand="0" w:noVBand="1"/>
      </w:tblPr>
      <w:tblGrid>
        <w:gridCol w:w="2705"/>
        <w:gridCol w:w="851"/>
        <w:gridCol w:w="3397"/>
        <w:gridCol w:w="1974"/>
        <w:gridCol w:w="1423"/>
      </w:tblGrid>
      <w:tr w:rsidR="00505413" w14:paraId="35A9825D" w14:textId="77777777" w:rsidTr="00105F4D">
        <w:trPr>
          <w:trHeight w:val="290"/>
        </w:trPr>
        <w:tc>
          <w:tcPr>
            <w:tcW w:w="2705" w:type="dxa"/>
            <w:vMerge w:val="restart"/>
            <w:vAlign w:val="center"/>
          </w:tcPr>
          <w:p w14:paraId="01E112BD" w14:textId="77777777" w:rsidR="00505413" w:rsidRDefault="00D71A49">
            <w:pPr>
              <w:spacing w:after="0" w:line="240" w:lineRule="auto"/>
              <w:jc w:val="center"/>
              <w:rPr>
                <w:rFonts w:ascii="Calibri" w:eastAsia="Calibri" w:hAnsi="Calibri"/>
              </w:rPr>
            </w:pPr>
            <w:r>
              <w:rPr>
                <w:rFonts w:eastAsia="Calibri"/>
                <w:noProof/>
                <w:lang w:eastAsia="tr-TR"/>
              </w:rPr>
              <w:drawing>
                <wp:inline distT="0" distB="0" distL="0" distR="0" wp14:anchorId="4DF27874" wp14:editId="6A03E151">
                  <wp:extent cx="685800" cy="753110"/>
                  <wp:effectExtent l="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pic:cNvPicPr>
                            <a:picLocks noChangeAspect="1" noChangeArrowheads="1"/>
                          </pic:cNvPicPr>
                        </pic:nvPicPr>
                        <pic:blipFill>
                          <a:blip r:embed="rId6"/>
                          <a:stretch>
                            <a:fillRect/>
                          </a:stretch>
                        </pic:blipFill>
                        <pic:spPr bwMode="auto">
                          <a:xfrm>
                            <a:off x="0" y="0"/>
                            <a:ext cx="685800" cy="753110"/>
                          </a:xfrm>
                          <a:prstGeom prst="rect">
                            <a:avLst/>
                          </a:prstGeom>
                        </pic:spPr>
                      </pic:pic>
                    </a:graphicData>
                  </a:graphic>
                </wp:inline>
              </w:drawing>
            </w:r>
          </w:p>
        </w:tc>
        <w:tc>
          <w:tcPr>
            <w:tcW w:w="4248" w:type="dxa"/>
            <w:gridSpan w:val="2"/>
            <w:vMerge w:val="restart"/>
            <w:vAlign w:val="center"/>
          </w:tcPr>
          <w:p w14:paraId="32988C9E" w14:textId="77777777" w:rsidR="00505413" w:rsidRDefault="00D71A49">
            <w:pPr>
              <w:spacing w:after="0" w:line="240" w:lineRule="auto"/>
              <w:jc w:val="center"/>
              <w:rPr>
                <w:rFonts w:ascii="Times New Roman" w:hAnsi="Times New Roman" w:cs="Times New Roman"/>
                <w:b/>
                <w:sz w:val="24"/>
              </w:rPr>
            </w:pPr>
            <w:r>
              <w:rPr>
                <w:rFonts w:ascii="Times New Roman" w:eastAsia="Calibri" w:hAnsi="Times New Roman" w:cs="Times New Roman"/>
                <w:b/>
                <w:sz w:val="24"/>
              </w:rPr>
              <w:t xml:space="preserve">DEKAN </w:t>
            </w:r>
          </w:p>
          <w:p w14:paraId="21574678" w14:textId="77777777" w:rsidR="00505413" w:rsidRDefault="00D71A49">
            <w:pPr>
              <w:spacing w:after="0" w:line="240" w:lineRule="auto"/>
              <w:jc w:val="center"/>
              <w:rPr>
                <w:rFonts w:ascii="Times New Roman" w:hAnsi="Times New Roman" w:cs="Times New Roman"/>
                <w:b/>
              </w:rPr>
            </w:pPr>
            <w:r>
              <w:rPr>
                <w:rFonts w:ascii="Times New Roman" w:eastAsia="Calibri" w:hAnsi="Times New Roman" w:cs="Times New Roman"/>
                <w:b/>
                <w:sz w:val="24"/>
              </w:rPr>
              <w:t xml:space="preserve"> GÖREV TANIM FORMU</w:t>
            </w:r>
          </w:p>
        </w:tc>
        <w:tc>
          <w:tcPr>
            <w:tcW w:w="1974" w:type="dxa"/>
            <w:vAlign w:val="center"/>
          </w:tcPr>
          <w:p w14:paraId="2C37357F"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Doküman No</w:t>
            </w:r>
          </w:p>
        </w:tc>
        <w:tc>
          <w:tcPr>
            <w:tcW w:w="1423" w:type="dxa"/>
            <w:vAlign w:val="center"/>
          </w:tcPr>
          <w:p w14:paraId="5D0C230D" w14:textId="314448E5"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w:t>
            </w:r>
            <w:r w:rsidR="00AA54F6">
              <w:rPr>
                <w:rFonts w:ascii="Times New Roman" w:eastAsia="Calibri" w:hAnsi="Times New Roman" w:cs="Times New Roman"/>
                <w:sz w:val="16"/>
              </w:rPr>
              <w:t>421845</w:t>
            </w:r>
          </w:p>
        </w:tc>
      </w:tr>
      <w:tr w:rsidR="00505413" w14:paraId="7D6452D0" w14:textId="77777777" w:rsidTr="00105F4D">
        <w:trPr>
          <w:trHeight w:val="290"/>
        </w:trPr>
        <w:tc>
          <w:tcPr>
            <w:tcW w:w="2705" w:type="dxa"/>
            <w:vMerge/>
            <w:vAlign w:val="center"/>
          </w:tcPr>
          <w:p w14:paraId="42FAFF0E" w14:textId="77777777" w:rsidR="00505413" w:rsidRDefault="00505413">
            <w:pPr>
              <w:spacing w:after="0" w:line="240" w:lineRule="auto"/>
              <w:jc w:val="center"/>
              <w:rPr>
                <w:rFonts w:ascii="Calibri" w:eastAsia="Calibri" w:hAnsi="Calibri"/>
              </w:rPr>
            </w:pPr>
          </w:p>
        </w:tc>
        <w:tc>
          <w:tcPr>
            <w:tcW w:w="4248" w:type="dxa"/>
            <w:gridSpan w:val="2"/>
            <w:vMerge/>
            <w:vAlign w:val="center"/>
          </w:tcPr>
          <w:p w14:paraId="32178AB0" w14:textId="77777777" w:rsidR="00505413" w:rsidRDefault="00505413">
            <w:pPr>
              <w:spacing w:after="0" w:line="240" w:lineRule="auto"/>
              <w:jc w:val="center"/>
              <w:rPr>
                <w:rFonts w:ascii="Calibri" w:eastAsia="Calibri" w:hAnsi="Calibri"/>
              </w:rPr>
            </w:pPr>
          </w:p>
        </w:tc>
        <w:tc>
          <w:tcPr>
            <w:tcW w:w="1974" w:type="dxa"/>
            <w:vAlign w:val="center"/>
          </w:tcPr>
          <w:p w14:paraId="4C304A2B"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Yürürlüğe Giriş Tarihi</w:t>
            </w:r>
          </w:p>
        </w:tc>
        <w:tc>
          <w:tcPr>
            <w:tcW w:w="1423" w:type="dxa"/>
            <w:vAlign w:val="center"/>
          </w:tcPr>
          <w:p w14:paraId="739A315B"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w:t>
            </w:r>
          </w:p>
        </w:tc>
      </w:tr>
      <w:tr w:rsidR="00505413" w14:paraId="71E45FBD" w14:textId="77777777" w:rsidTr="00105F4D">
        <w:trPr>
          <w:trHeight w:val="317"/>
        </w:trPr>
        <w:tc>
          <w:tcPr>
            <w:tcW w:w="2705" w:type="dxa"/>
            <w:vMerge/>
            <w:vAlign w:val="center"/>
          </w:tcPr>
          <w:p w14:paraId="0CC9DEFD" w14:textId="77777777" w:rsidR="00505413" w:rsidRDefault="00505413">
            <w:pPr>
              <w:spacing w:after="0" w:line="240" w:lineRule="auto"/>
              <w:jc w:val="center"/>
              <w:rPr>
                <w:rFonts w:ascii="Calibri" w:eastAsia="Calibri" w:hAnsi="Calibri"/>
              </w:rPr>
            </w:pPr>
          </w:p>
        </w:tc>
        <w:tc>
          <w:tcPr>
            <w:tcW w:w="4248" w:type="dxa"/>
            <w:gridSpan w:val="2"/>
            <w:vMerge/>
            <w:vAlign w:val="center"/>
          </w:tcPr>
          <w:p w14:paraId="377C5944" w14:textId="77777777" w:rsidR="00505413" w:rsidRDefault="00505413">
            <w:pPr>
              <w:spacing w:after="0" w:line="240" w:lineRule="auto"/>
              <w:jc w:val="center"/>
              <w:rPr>
                <w:rFonts w:ascii="Calibri" w:eastAsia="Calibri" w:hAnsi="Calibri"/>
              </w:rPr>
            </w:pPr>
          </w:p>
        </w:tc>
        <w:tc>
          <w:tcPr>
            <w:tcW w:w="1974" w:type="dxa"/>
            <w:vAlign w:val="center"/>
          </w:tcPr>
          <w:p w14:paraId="387958E0"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Revizyon</w:t>
            </w:r>
          </w:p>
        </w:tc>
        <w:tc>
          <w:tcPr>
            <w:tcW w:w="1423" w:type="dxa"/>
            <w:vAlign w:val="center"/>
          </w:tcPr>
          <w:p w14:paraId="225354AE" w14:textId="2948D21C"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w:t>
            </w:r>
            <w:r w:rsidR="002810CD">
              <w:rPr>
                <w:rFonts w:ascii="Times New Roman" w:eastAsia="Calibri" w:hAnsi="Times New Roman" w:cs="Times New Roman"/>
                <w:sz w:val="16"/>
              </w:rPr>
              <w:t>52</w:t>
            </w:r>
          </w:p>
        </w:tc>
      </w:tr>
      <w:tr w:rsidR="00505413" w14:paraId="63BA31DB" w14:textId="77777777" w:rsidTr="00105F4D">
        <w:trPr>
          <w:trHeight w:val="290"/>
        </w:trPr>
        <w:tc>
          <w:tcPr>
            <w:tcW w:w="2705" w:type="dxa"/>
            <w:vMerge/>
            <w:vAlign w:val="center"/>
          </w:tcPr>
          <w:p w14:paraId="6139CF44" w14:textId="77777777" w:rsidR="00505413" w:rsidRDefault="00505413">
            <w:pPr>
              <w:spacing w:after="0" w:line="240" w:lineRule="auto"/>
              <w:jc w:val="center"/>
              <w:rPr>
                <w:rFonts w:ascii="Calibri" w:eastAsia="Calibri" w:hAnsi="Calibri"/>
              </w:rPr>
            </w:pPr>
          </w:p>
        </w:tc>
        <w:tc>
          <w:tcPr>
            <w:tcW w:w="4248" w:type="dxa"/>
            <w:gridSpan w:val="2"/>
            <w:vMerge/>
            <w:vAlign w:val="center"/>
          </w:tcPr>
          <w:p w14:paraId="01D15C6B" w14:textId="77777777" w:rsidR="00505413" w:rsidRDefault="00505413">
            <w:pPr>
              <w:spacing w:after="0" w:line="240" w:lineRule="auto"/>
              <w:jc w:val="center"/>
              <w:rPr>
                <w:rFonts w:ascii="Calibri" w:eastAsia="Calibri" w:hAnsi="Calibri"/>
              </w:rPr>
            </w:pPr>
          </w:p>
        </w:tc>
        <w:tc>
          <w:tcPr>
            <w:tcW w:w="1974" w:type="dxa"/>
            <w:vAlign w:val="center"/>
          </w:tcPr>
          <w:p w14:paraId="57D319E2"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Revizyon Tarihi</w:t>
            </w:r>
          </w:p>
        </w:tc>
        <w:tc>
          <w:tcPr>
            <w:tcW w:w="1423" w:type="dxa"/>
            <w:vAlign w:val="center"/>
          </w:tcPr>
          <w:p w14:paraId="5894E8F7"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w:t>
            </w:r>
          </w:p>
        </w:tc>
      </w:tr>
      <w:tr w:rsidR="00505413" w14:paraId="4F4D3BB7" w14:textId="77777777" w:rsidTr="00105F4D">
        <w:trPr>
          <w:trHeight w:val="315"/>
        </w:trPr>
        <w:tc>
          <w:tcPr>
            <w:tcW w:w="2705" w:type="dxa"/>
            <w:vMerge/>
            <w:vAlign w:val="center"/>
          </w:tcPr>
          <w:p w14:paraId="79178E80" w14:textId="77777777" w:rsidR="00505413" w:rsidRDefault="00505413">
            <w:pPr>
              <w:spacing w:after="0" w:line="240" w:lineRule="auto"/>
              <w:jc w:val="center"/>
              <w:rPr>
                <w:rFonts w:ascii="Calibri" w:eastAsia="Calibri" w:hAnsi="Calibri"/>
              </w:rPr>
            </w:pPr>
          </w:p>
        </w:tc>
        <w:tc>
          <w:tcPr>
            <w:tcW w:w="4248" w:type="dxa"/>
            <w:gridSpan w:val="2"/>
            <w:vMerge/>
            <w:vAlign w:val="center"/>
          </w:tcPr>
          <w:p w14:paraId="17C2AC94" w14:textId="77777777" w:rsidR="00505413" w:rsidRDefault="00505413">
            <w:pPr>
              <w:spacing w:after="0" w:line="240" w:lineRule="auto"/>
              <w:jc w:val="center"/>
              <w:rPr>
                <w:rFonts w:ascii="Calibri" w:eastAsia="Calibri" w:hAnsi="Calibri"/>
              </w:rPr>
            </w:pPr>
          </w:p>
        </w:tc>
        <w:tc>
          <w:tcPr>
            <w:tcW w:w="1974" w:type="dxa"/>
            <w:vAlign w:val="center"/>
          </w:tcPr>
          <w:p w14:paraId="226368C8"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Sayfa No</w:t>
            </w:r>
          </w:p>
        </w:tc>
        <w:tc>
          <w:tcPr>
            <w:tcW w:w="1423" w:type="dxa"/>
            <w:vAlign w:val="center"/>
          </w:tcPr>
          <w:p w14:paraId="5AB79147" w14:textId="77777777" w:rsidR="00505413" w:rsidRDefault="00D71A49">
            <w:pPr>
              <w:spacing w:after="0" w:line="240" w:lineRule="auto"/>
              <w:rPr>
                <w:rFonts w:ascii="Times New Roman" w:hAnsi="Times New Roman" w:cs="Times New Roman"/>
                <w:sz w:val="16"/>
              </w:rPr>
            </w:pPr>
            <w:r>
              <w:rPr>
                <w:rFonts w:ascii="Times New Roman" w:eastAsia="Calibri" w:hAnsi="Times New Roman" w:cs="Times New Roman"/>
                <w:sz w:val="16"/>
              </w:rPr>
              <w:t>:</w:t>
            </w:r>
          </w:p>
        </w:tc>
      </w:tr>
      <w:tr w:rsidR="00505413" w14:paraId="577B0EFE" w14:textId="77777777" w:rsidTr="00105F4D">
        <w:trPr>
          <w:trHeight w:val="324"/>
        </w:trPr>
        <w:tc>
          <w:tcPr>
            <w:tcW w:w="2705" w:type="dxa"/>
          </w:tcPr>
          <w:p w14:paraId="60F8BD09"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Üst Birim</w:t>
            </w:r>
          </w:p>
        </w:tc>
        <w:tc>
          <w:tcPr>
            <w:tcW w:w="7645" w:type="dxa"/>
            <w:gridSpan w:val="4"/>
          </w:tcPr>
          <w:p w14:paraId="4178EF24" w14:textId="77777777" w:rsidR="00505413" w:rsidRDefault="00D71A49">
            <w:pPr>
              <w:tabs>
                <w:tab w:val="left" w:pos="1980"/>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Kahramanmaraş Sütçü İmam Üniversitesi</w:t>
            </w:r>
          </w:p>
        </w:tc>
      </w:tr>
      <w:tr w:rsidR="00505413" w14:paraId="79A4F547" w14:textId="77777777" w:rsidTr="00105F4D">
        <w:trPr>
          <w:trHeight w:val="324"/>
        </w:trPr>
        <w:tc>
          <w:tcPr>
            <w:tcW w:w="2705" w:type="dxa"/>
          </w:tcPr>
          <w:p w14:paraId="26FB1B17"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Birimi</w:t>
            </w:r>
          </w:p>
        </w:tc>
        <w:tc>
          <w:tcPr>
            <w:tcW w:w="7645" w:type="dxa"/>
            <w:gridSpan w:val="4"/>
          </w:tcPr>
          <w:p w14:paraId="0A4AFBA7" w14:textId="77777777" w:rsidR="00505413" w:rsidRDefault="00D71A49">
            <w:pPr>
              <w:tabs>
                <w:tab w:val="left" w:pos="1980"/>
              </w:tabs>
              <w:spacing w:after="0" w:line="240" w:lineRule="auto"/>
              <w:jc w:val="both"/>
              <w:rPr>
                <w:rFonts w:ascii="Times New Roman" w:hAnsi="Times New Roman" w:cs="Times New Roman"/>
                <w:sz w:val="24"/>
                <w:szCs w:val="24"/>
                <w:highlight w:val="yellow"/>
              </w:rPr>
            </w:pPr>
            <w:r>
              <w:rPr>
                <w:rFonts w:ascii="Times New Roman" w:eastAsia="Calibri" w:hAnsi="Times New Roman" w:cs="Times New Roman"/>
                <w:sz w:val="24"/>
                <w:szCs w:val="24"/>
              </w:rPr>
              <w:t>Sağlık Bilimleri Fakültesi Dekanlığı</w:t>
            </w:r>
          </w:p>
        </w:tc>
      </w:tr>
      <w:tr w:rsidR="00505413" w14:paraId="0854722D" w14:textId="77777777" w:rsidTr="00105F4D">
        <w:trPr>
          <w:trHeight w:val="324"/>
        </w:trPr>
        <w:tc>
          <w:tcPr>
            <w:tcW w:w="2705" w:type="dxa"/>
          </w:tcPr>
          <w:p w14:paraId="4862AD2A"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Görevi</w:t>
            </w:r>
          </w:p>
        </w:tc>
        <w:tc>
          <w:tcPr>
            <w:tcW w:w="7645" w:type="dxa"/>
            <w:gridSpan w:val="4"/>
          </w:tcPr>
          <w:p w14:paraId="0C99EE37" w14:textId="77777777" w:rsidR="00505413" w:rsidRDefault="00D71A49">
            <w:p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Dekan/Harcama Yetkilisi</w:t>
            </w:r>
          </w:p>
        </w:tc>
      </w:tr>
      <w:tr w:rsidR="00505413" w14:paraId="09B675E2" w14:textId="77777777" w:rsidTr="00105F4D">
        <w:trPr>
          <w:trHeight w:val="324"/>
        </w:trPr>
        <w:tc>
          <w:tcPr>
            <w:tcW w:w="2705" w:type="dxa"/>
          </w:tcPr>
          <w:p w14:paraId="2AACD2AF"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Üst Yönetici/Yöneticileri</w:t>
            </w:r>
          </w:p>
        </w:tc>
        <w:tc>
          <w:tcPr>
            <w:tcW w:w="7645" w:type="dxa"/>
            <w:gridSpan w:val="4"/>
          </w:tcPr>
          <w:p w14:paraId="431B4F1A" w14:textId="77777777" w:rsidR="00505413" w:rsidRDefault="00D71A49">
            <w:pPr>
              <w:pStyle w:val="TableParagraph"/>
              <w:widowControl w:val="0"/>
              <w:spacing w:before="52" w:after="0"/>
              <w:jc w:val="both"/>
              <w:rPr>
                <w:sz w:val="24"/>
                <w:szCs w:val="24"/>
              </w:rPr>
            </w:pPr>
            <w:r>
              <w:rPr>
                <w:rFonts w:ascii="Times New Roman" w:hAnsi="Times New Roman" w:cs="Times New Roman"/>
                <w:sz w:val="24"/>
                <w:szCs w:val="24"/>
              </w:rPr>
              <w:t>Rektör ve Rektör Yardımcıları</w:t>
            </w:r>
          </w:p>
        </w:tc>
      </w:tr>
      <w:tr w:rsidR="00505413" w14:paraId="4C8088C2" w14:textId="77777777" w:rsidTr="00105F4D">
        <w:trPr>
          <w:trHeight w:val="324"/>
        </w:trPr>
        <w:tc>
          <w:tcPr>
            <w:tcW w:w="2705" w:type="dxa"/>
          </w:tcPr>
          <w:p w14:paraId="37D525FC"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Vekili</w:t>
            </w:r>
          </w:p>
        </w:tc>
        <w:tc>
          <w:tcPr>
            <w:tcW w:w="7645" w:type="dxa"/>
            <w:gridSpan w:val="4"/>
          </w:tcPr>
          <w:p w14:paraId="071F07F2" w14:textId="77777777" w:rsidR="00505413" w:rsidRDefault="00D71A49">
            <w:pPr>
              <w:tabs>
                <w:tab w:val="left" w:pos="1980"/>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Dekan Yardımcıları</w:t>
            </w:r>
          </w:p>
        </w:tc>
      </w:tr>
      <w:tr w:rsidR="00505413" w14:paraId="7B5088EF" w14:textId="77777777" w:rsidTr="00105F4D">
        <w:trPr>
          <w:trHeight w:val="1374"/>
        </w:trPr>
        <w:tc>
          <w:tcPr>
            <w:tcW w:w="2705" w:type="dxa"/>
          </w:tcPr>
          <w:p w14:paraId="7A0B5D01"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Görev Tanımı</w:t>
            </w:r>
          </w:p>
        </w:tc>
        <w:tc>
          <w:tcPr>
            <w:tcW w:w="7645" w:type="dxa"/>
            <w:gridSpan w:val="4"/>
          </w:tcPr>
          <w:p w14:paraId="20FBEA19" w14:textId="77777777" w:rsidR="00505413" w:rsidRDefault="00D71A49">
            <w:pPr>
              <w:pStyle w:val="TableParagraph"/>
              <w:widowControl w:val="0"/>
              <w:spacing w:before="52"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Dekan, 2547 sayılı Yükseköğretim Kanunu ve Üniversitelerde Akademik Teşkilât Yönetmeliği gereğince Üniversite üst yönetimi tarafından belirlenen amaç ve ilkelere uygun olarak eğitim öğretimin etkin ve verimli bir şekilde gerçekleştirilmesi amacıyla etik ilkelere uygun olarak idari ve akademik çalışmaları planlar, kararlar alır, yönlendirir ve denetler. Fakülteyi üst düzeyde temsil eder. </w:t>
            </w:r>
          </w:p>
        </w:tc>
      </w:tr>
      <w:tr w:rsidR="00505413" w14:paraId="02E87349" w14:textId="77777777" w:rsidTr="00105F4D">
        <w:trPr>
          <w:trHeight w:val="4982"/>
        </w:trPr>
        <w:tc>
          <w:tcPr>
            <w:tcW w:w="2705" w:type="dxa"/>
          </w:tcPr>
          <w:p w14:paraId="5BA24071"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Görev, Yetki ve Sorumlulukları</w:t>
            </w:r>
          </w:p>
        </w:tc>
        <w:tc>
          <w:tcPr>
            <w:tcW w:w="7645" w:type="dxa"/>
            <w:gridSpan w:val="4"/>
          </w:tcPr>
          <w:p w14:paraId="7A8F268F" w14:textId="6B96E35A" w:rsidR="00D71A49" w:rsidRDefault="00D71A49" w:rsidP="00B1145B">
            <w:pPr>
              <w:pStyle w:val="GvdeMetni"/>
              <w:numPr>
                <w:ilvl w:val="0"/>
                <w:numId w:val="4"/>
              </w:numPr>
              <w:spacing w:before="156"/>
              <w:jc w:val="both"/>
            </w:pPr>
            <w:r>
              <w:t>Yönetimi altında bulunan Fakültede, verilen eğitim öğretim hizmetlerinin en üst düzeyde yürütülmesini sağlamak için g</w:t>
            </w:r>
            <w:r w:rsidR="004D0EF6">
              <w:t>erekli iş ve işlemleri yürütür.</w:t>
            </w:r>
          </w:p>
          <w:p w14:paraId="4A1D96EF" w14:textId="77777777" w:rsidR="004D0EF6" w:rsidRPr="004D0EF6" w:rsidRDefault="004D0EF6" w:rsidP="004D0EF6">
            <w:pPr>
              <w:pStyle w:val="GvdeMetni"/>
              <w:numPr>
                <w:ilvl w:val="0"/>
                <w:numId w:val="4"/>
              </w:numPr>
              <w:spacing w:before="156"/>
              <w:jc w:val="both"/>
            </w:pPr>
            <w:r w:rsidRPr="00B1145B">
              <w:rPr>
                <w:rFonts w:eastAsia="Calibri"/>
                <w:lang w:eastAsia="en-US" w:bidi="ar-SA"/>
              </w:rPr>
              <w:t xml:space="preserve">Fakültenin </w:t>
            </w:r>
            <w:proofErr w:type="gramStart"/>
            <w:r w:rsidRPr="00B1145B">
              <w:rPr>
                <w:rFonts w:eastAsia="Calibri"/>
                <w:lang w:eastAsia="en-US" w:bidi="ar-SA"/>
              </w:rPr>
              <w:t>misyon</w:t>
            </w:r>
            <w:proofErr w:type="gramEnd"/>
            <w:r w:rsidRPr="00B1145B">
              <w:rPr>
                <w:rFonts w:eastAsia="Calibri"/>
                <w:lang w:eastAsia="en-US" w:bidi="ar-SA"/>
              </w:rPr>
              <w:t xml:space="preserve"> ve vizyonunu belirler; bunu, Fakültenin tüm çalışanları ile paylaşır, gerçekleşmesi için çalışanları motive eder.</w:t>
            </w:r>
          </w:p>
          <w:p w14:paraId="5A467465" w14:textId="35D45B2A" w:rsidR="004D0EF6" w:rsidRPr="004D0EF6" w:rsidRDefault="004D0EF6" w:rsidP="004D0EF6">
            <w:pPr>
              <w:pStyle w:val="GvdeMetni"/>
              <w:numPr>
                <w:ilvl w:val="0"/>
                <w:numId w:val="4"/>
              </w:numPr>
              <w:spacing w:before="156"/>
              <w:jc w:val="both"/>
            </w:pPr>
            <w:r w:rsidRPr="00B1145B">
              <w:rPr>
                <w:rFonts w:eastAsia="Calibri"/>
                <w:lang w:eastAsia="en-US" w:bidi="ar-SA"/>
              </w:rPr>
              <w:t>Eğitim-öğretim ve araştırmalarla ilgili politikalar ve stratejiler geliştirir.</w:t>
            </w:r>
            <w:r>
              <w:rPr>
                <w:rFonts w:eastAsia="Calibri"/>
                <w:lang w:eastAsia="en-US" w:bidi="ar-SA"/>
              </w:rPr>
              <w:t xml:space="preserve"> </w:t>
            </w:r>
            <w:r w:rsidRPr="004D0EF6">
              <w:rPr>
                <w:rFonts w:eastAsia="Calibri"/>
                <w:lang w:eastAsia="en-US" w:bidi="ar-SA"/>
              </w:rPr>
              <w:t>Fakültenin stratejik planını hazırlanmasını sağlar.</w:t>
            </w:r>
          </w:p>
          <w:p w14:paraId="0E0A11BF" w14:textId="613EA98E" w:rsidR="004D0EF6" w:rsidRDefault="004D0EF6" w:rsidP="004D0EF6">
            <w:pPr>
              <w:pStyle w:val="GvdeMetni"/>
              <w:numPr>
                <w:ilvl w:val="0"/>
                <w:numId w:val="4"/>
              </w:numPr>
              <w:spacing w:before="156"/>
              <w:jc w:val="both"/>
            </w:pPr>
            <w:r>
              <w:rPr>
                <w:rFonts w:eastAsia="Calibri"/>
                <w:lang w:eastAsia="en-US" w:bidi="ar-SA"/>
              </w:rPr>
              <w:t>Fakülte değerlendirme ve kalite geliştirme ve akreditasyon çalışmalarının düzenli şekilde yürütülmesini sağlar.</w:t>
            </w:r>
          </w:p>
          <w:p w14:paraId="78043C23" w14:textId="0BCD3AC3" w:rsidR="00CD5258" w:rsidRPr="00B1145B" w:rsidRDefault="00D71A49" w:rsidP="00CD5258">
            <w:pPr>
              <w:pStyle w:val="GvdeMetni"/>
              <w:numPr>
                <w:ilvl w:val="0"/>
                <w:numId w:val="4"/>
              </w:numPr>
              <w:spacing w:before="156"/>
              <w:jc w:val="both"/>
            </w:pPr>
            <w:r w:rsidRPr="00B1145B">
              <w:rPr>
                <w:rFonts w:eastAsia="Calibri"/>
                <w:lang w:eastAsia="en-US" w:bidi="ar-SA"/>
              </w:rPr>
              <w:t>Fakülte birimleri arasında eşgüdümü sağlayarak fakülte birimleri arasında düzenli çalışmayı gerçekleştirir.</w:t>
            </w:r>
          </w:p>
          <w:p w14:paraId="17E85818" w14:textId="77777777" w:rsidR="00B1145B" w:rsidRPr="004D0EF6" w:rsidRDefault="00D71A49" w:rsidP="006839E5">
            <w:pPr>
              <w:pStyle w:val="GvdeMetni"/>
              <w:numPr>
                <w:ilvl w:val="0"/>
                <w:numId w:val="4"/>
              </w:numPr>
              <w:spacing w:before="156"/>
              <w:jc w:val="both"/>
            </w:pPr>
            <w:r w:rsidRPr="00B1145B">
              <w:rPr>
                <w:rFonts w:eastAsia="Calibri"/>
                <w:lang w:eastAsia="en-US" w:bidi="ar-SA"/>
              </w:rPr>
              <w:t xml:space="preserve">Fakülte Kurulu, Fakülte Yönetim Kurulu ve Fakülte Disiplin Kuruluna başkanlık eder ve kurul kararlarının uygulanmasını sağlar. </w:t>
            </w:r>
          </w:p>
          <w:p w14:paraId="0667A51F" w14:textId="0492863F" w:rsidR="004D0EF6" w:rsidRPr="00E34F80" w:rsidRDefault="004D0EF6" w:rsidP="00CD5258">
            <w:pPr>
              <w:pStyle w:val="GvdeMetni"/>
              <w:numPr>
                <w:ilvl w:val="0"/>
                <w:numId w:val="4"/>
              </w:numPr>
              <w:spacing w:before="156"/>
              <w:jc w:val="both"/>
            </w:pPr>
            <w:r>
              <w:rPr>
                <w:rFonts w:eastAsia="Calibri"/>
                <w:lang w:eastAsia="en-US" w:bidi="ar-SA"/>
              </w:rPr>
              <w:t xml:space="preserve">Fakültede eğitim-öğretimin düzenli bir şekilde sürdürülmesini ve Eğitim-öğretimde yükselen değerleri takip ederek Fakülte bazında uygulanmasını sağlar. </w:t>
            </w:r>
          </w:p>
          <w:p w14:paraId="31F03A81" w14:textId="1FE0EBCC" w:rsidR="00E34F80" w:rsidRPr="00B1145B" w:rsidRDefault="00E34F80" w:rsidP="00E34F80">
            <w:pPr>
              <w:pStyle w:val="GvdeMetni"/>
              <w:numPr>
                <w:ilvl w:val="0"/>
                <w:numId w:val="4"/>
              </w:numPr>
              <w:spacing w:before="156"/>
              <w:jc w:val="both"/>
            </w:pPr>
            <w:r>
              <w:rPr>
                <w:rFonts w:eastAsia="Calibri"/>
                <w:lang w:eastAsia="en-US" w:bidi="ar-SA"/>
              </w:rPr>
              <w:t>Fakültede araştırma projelerinin düzenli olarak hazırlanmasını ve sürdürülmesini sağlar.</w:t>
            </w:r>
          </w:p>
          <w:p w14:paraId="520EBF70" w14:textId="77777777" w:rsidR="00B1145B" w:rsidRPr="00E34F80" w:rsidRDefault="00B1145B" w:rsidP="002B0D5C">
            <w:pPr>
              <w:pStyle w:val="GvdeMetni"/>
              <w:numPr>
                <w:ilvl w:val="0"/>
                <w:numId w:val="4"/>
              </w:numPr>
              <w:spacing w:before="156"/>
              <w:jc w:val="both"/>
            </w:pPr>
            <w:r w:rsidRPr="00B1145B">
              <w:rPr>
                <w:rFonts w:eastAsia="Calibri"/>
                <w:lang w:eastAsia="en-US" w:bidi="ar-SA"/>
              </w:rPr>
              <w:t xml:space="preserve">Her yıl Fakültenin analitik bütçesinin gerekçeleri ile birlikte hazırlanmasını sağlar. Bütçeyle ödenek tahsis edilen her bir harcama biriminin en üst yöneticisi olarak harcama yetkisini elinde bulundurur. </w:t>
            </w:r>
          </w:p>
          <w:p w14:paraId="484C30C9" w14:textId="0861F400" w:rsidR="00E34F80" w:rsidRPr="00B1145B" w:rsidRDefault="00E34F80" w:rsidP="002B0D5C">
            <w:pPr>
              <w:pStyle w:val="GvdeMetni"/>
              <w:numPr>
                <w:ilvl w:val="0"/>
                <w:numId w:val="4"/>
              </w:numPr>
              <w:spacing w:before="156"/>
              <w:jc w:val="both"/>
            </w:pPr>
            <w:r>
              <w:rPr>
                <w:rFonts w:eastAsia="Calibri"/>
                <w:lang w:eastAsia="en-US" w:bidi="ar-SA"/>
              </w:rPr>
              <w:t>Fakültenin fiziki donanımı ile insan kaynaklarının etkili ve verimli olarak kullanılmasını sağlar. Tasarruf ilkelerine uygun hareket eder.</w:t>
            </w:r>
          </w:p>
          <w:p w14:paraId="1AD3126B" w14:textId="77777777" w:rsidR="00B1145B" w:rsidRPr="00B1145B" w:rsidRDefault="00B1145B" w:rsidP="00C858A3">
            <w:pPr>
              <w:pStyle w:val="GvdeMetni"/>
              <w:numPr>
                <w:ilvl w:val="0"/>
                <w:numId w:val="4"/>
              </w:numPr>
              <w:spacing w:before="156"/>
              <w:jc w:val="both"/>
            </w:pPr>
            <w:r w:rsidRPr="00B1145B">
              <w:rPr>
                <w:rFonts w:eastAsia="Calibri"/>
              </w:rPr>
              <w:lastRenderedPageBreak/>
              <w:t>Harcama talimatlarının bütçe ilke ve esaslarına, kanun tüzük ve yönetmelikler ile diğer mevzuata uygun olmasını, ödeneklerin etkili, ekonomik ve verimli kullanılmasını sağlar.</w:t>
            </w:r>
          </w:p>
          <w:p w14:paraId="2E764779" w14:textId="77777777" w:rsidR="00B1145B" w:rsidRPr="00B1145B" w:rsidRDefault="00D71A49" w:rsidP="00FC461F">
            <w:pPr>
              <w:pStyle w:val="GvdeMetni"/>
              <w:numPr>
                <w:ilvl w:val="0"/>
                <w:numId w:val="4"/>
              </w:numPr>
              <w:spacing w:before="156"/>
              <w:jc w:val="both"/>
            </w:pPr>
            <w:r w:rsidRPr="00B1145B">
              <w:rPr>
                <w:rFonts w:eastAsia="Calibri"/>
                <w:lang w:eastAsia="en-US" w:bidi="ar-SA"/>
              </w:rPr>
              <w:t>Taşınırların etkili, ekonomik, verimli ve hukuka uygun olarak edinilmesini ve kullanılmasını; kontrollerinin yapılmasını, taşınır kayıt ve kontrol yetkilisi vasıtasıyla kayıtlarının şeffaf bir şekilde tutulmasını sağlar.</w:t>
            </w:r>
          </w:p>
          <w:p w14:paraId="0AA0B411" w14:textId="77777777" w:rsidR="00505413" w:rsidRPr="00B1145B" w:rsidRDefault="00D71A49" w:rsidP="00FC461F">
            <w:pPr>
              <w:pStyle w:val="GvdeMetni"/>
              <w:numPr>
                <w:ilvl w:val="0"/>
                <w:numId w:val="4"/>
              </w:numPr>
              <w:spacing w:before="156"/>
              <w:jc w:val="both"/>
            </w:pPr>
            <w:r w:rsidRPr="00B1145B">
              <w:rPr>
                <w:rFonts w:eastAsia="Calibri"/>
                <w:lang w:eastAsia="en-US" w:bidi="ar-SA"/>
              </w:rPr>
              <w:t>Fakültenin kadro ihtiyaçlarını hazırlatır ve Rektörlük makamına sunar.</w:t>
            </w:r>
          </w:p>
          <w:p w14:paraId="5228B21D" w14:textId="77777777" w:rsidR="00B1145B" w:rsidRPr="00B1145B" w:rsidRDefault="00D71A49" w:rsidP="004645CC">
            <w:pPr>
              <w:pStyle w:val="GvdeMetni"/>
              <w:numPr>
                <w:ilvl w:val="0"/>
                <w:numId w:val="4"/>
              </w:numPr>
              <w:spacing w:before="156"/>
              <w:jc w:val="both"/>
            </w:pPr>
            <w:r w:rsidRPr="00B1145B">
              <w:rPr>
                <w:rFonts w:eastAsia="Calibri"/>
                <w:lang w:eastAsia="en-US" w:bidi="ar-SA"/>
              </w:rPr>
              <w:t>Fakültenin kurumsal hafızasının sürdürülmesini sağlar.</w:t>
            </w:r>
          </w:p>
          <w:p w14:paraId="7D0238FE" w14:textId="530E3B40" w:rsidR="00505413" w:rsidRDefault="00D71A49" w:rsidP="00B1145B">
            <w:pPr>
              <w:pStyle w:val="GvdeMetni"/>
              <w:numPr>
                <w:ilvl w:val="0"/>
                <w:numId w:val="4"/>
              </w:numPr>
              <w:spacing w:before="156"/>
              <w:jc w:val="both"/>
            </w:pPr>
            <w:r>
              <w:t>Öğrencilere gerekli sosyal hiz</w:t>
            </w:r>
            <w:r w:rsidR="004D0EF6">
              <w:t>metlerin ulaştırılmasını sağlar.</w:t>
            </w:r>
          </w:p>
          <w:p w14:paraId="59515F55" w14:textId="77777777" w:rsidR="00505413" w:rsidRDefault="00D71A49" w:rsidP="00B1145B">
            <w:pPr>
              <w:pStyle w:val="GvdeMetni"/>
              <w:numPr>
                <w:ilvl w:val="0"/>
                <w:numId w:val="4"/>
              </w:numPr>
              <w:spacing w:before="156"/>
              <w:jc w:val="both"/>
            </w:pPr>
            <w:r>
              <w:rPr>
                <w:rFonts w:eastAsia="Calibri"/>
                <w:lang w:eastAsia="en-US" w:bidi="ar-SA"/>
              </w:rPr>
              <w:t xml:space="preserve"> </w:t>
            </w:r>
            <w:r w:rsidRPr="004D0EF6">
              <w:rPr>
                <w:rFonts w:eastAsia="Calibri"/>
                <w:lang w:eastAsia="en-US" w:bidi="ar-SA"/>
              </w:rPr>
              <w:t>Fakültenin idari ve akademik personeli için ihtiyaç duyulan alanlarda kurs, seminer ve konferans gibi etkinlikler düzenleyerek Fakültenin sürekli öğrenen bir organizasyon haline gelmesi için çalışır.</w:t>
            </w:r>
            <w:r>
              <w:rPr>
                <w:rFonts w:eastAsia="Calibri"/>
                <w:lang w:eastAsia="en-US" w:bidi="ar-SA"/>
              </w:rPr>
              <w:t xml:space="preserve"> </w:t>
            </w:r>
          </w:p>
          <w:p w14:paraId="59443ABB" w14:textId="7D90183E" w:rsidR="00505413" w:rsidRPr="00CD5258" w:rsidRDefault="00CD5258" w:rsidP="00E34F80">
            <w:pPr>
              <w:pStyle w:val="GvdeMetni"/>
              <w:numPr>
                <w:ilvl w:val="0"/>
                <w:numId w:val="4"/>
              </w:numPr>
              <w:spacing w:before="156"/>
              <w:jc w:val="both"/>
            </w:pPr>
            <w:r>
              <w:t>Fakülte birimleri ve her düzeydeki personeli üzerinde genel gözetim ve denetim görevini sürdürür, disiplini sağlar.</w:t>
            </w:r>
          </w:p>
          <w:p w14:paraId="298E0C39" w14:textId="77777777" w:rsidR="00505413" w:rsidRDefault="00D71A49" w:rsidP="00B1145B">
            <w:pPr>
              <w:pStyle w:val="GvdeMetni"/>
              <w:numPr>
                <w:ilvl w:val="0"/>
                <w:numId w:val="4"/>
              </w:numPr>
              <w:spacing w:before="156"/>
              <w:jc w:val="both"/>
            </w:pPr>
            <w:r>
              <w:rPr>
                <w:rFonts w:eastAsia="Calibri"/>
                <w:lang w:eastAsia="en-US" w:bidi="ar-SA"/>
              </w:rPr>
              <w:t xml:space="preserve">Fakülte yerleşkesinde gerekli güvenlik tedbirlerinin alınmasını sağlar. </w:t>
            </w:r>
          </w:p>
          <w:p w14:paraId="4977BCF3" w14:textId="77777777" w:rsidR="00505413" w:rsidRDefault="00D71A49" w:rsidP="00B1145B">
            <w:pPr>
              <w:pStyle w:val="GvdeMetni"/>
              <w:numPr>
                <w:ilvl w:val="0"/>
                <w:numId w:val="4"/>
              </w:numPr>
              <w:spacing w:before="156"/>
              <w:jc w:val="both"/>
            </w:pPr>
            <w:r>
              <w:rPr>
                <w:rFonts w:eastAsia="Calibri"/>
                <w:lang w:eastAsia="en-US" w:bidi="ar-SA"/>
              </w:rPr>
              <w:t xml:space="preserve">Her öğretim yılı sonunda Fakültenin genel durumunun işleyişi hakkında Rektöre rapor verir. </w:t>
            </w:r>
          </w:p>
          <w:p w14:paraId="25423C0C" w14:textId="397E297E" w:rsidR="00505413" w:rsidRDefault="00D71A49" w:rsidP="00E34F80">
            <w:pPr>
              <w:pStyle w:val="GvdeMetni"/>
              <w:numPr>
                <w:ilvl w:val="0"/>
                <w:numId w:val="4"/>
              </w:numPr>
              <w:spacing w:before="156"/>
              <w:jc w:val="both"/>
            </w:pPr>
            <w:r>
              <w:rPr>
                <w:rFonts w:eastAsia="Calibri"/>
                <w:lang w:eastAsia="en-US" w:bidi="ar-SA"/>
              </w:rPr>
              <w:t>Görev ve sorumluluk alanındaki faaliyetlerin mevcut iç kontrol sisteminin tanım ve talimatlarına uygun olarak yürütülmesini sağlar.</w:t>
            </w:r>
          </w:p>
          <w:p w14:paraId="79065499" w14:textId="77777777" w:rsidR="00505413" w:rsidRDefault="00D71A49" w:rsidP="00B1145B">
            <w:pPr>
              <w:pStyle w:val="GvdeMetni"/>
              <w:numPr>
                <w:ilvl w:val="0"/>
                <w:numId w:val="4"/>
              </w:numPr>
              <w:spacing w:before="156"/>
              <w:jc w:val="both"/>
            </w:pPr>
            <w:r>
              <w:rPr>
                <w:rFonts w:eastAsia="Calibri"/>
                <w:lang w:eastAsia="en-US" w:bidi="ar-SA"/>
              </w:rPr>
              <w:t xml:space="preserve">Rektörün alanı ile ilgili vereceği diğer görevleri yapar. </w:t>
            </w:r>
          </w:p>
        </w:tc>
      </w:tr>
      <w:tr w:rsidR="00505413" w14:paraId="17FB8A8C" w14:textId="77777777" w:rsidTr="00105F4D">
        <w:trPr>
          <w:trHeight w:val="141"/>
        </w:trPr>
        <w:tc>
          <w:tcPr>
            <w:tcW w:w="2705" w:type="dxa"/>
          </w:tcPr>
          <w:p w14:paraId="2A9B7B2E" w14:textId="77777777" w:rsidR="00505413" w:rsidRDefault="00D71A4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Yetkileri</w:t>
            </w:r>
          </w:p>
        </w:tc>
        <w:tc>
          <w:tcPr>
            <w:tcW w:w="7645" w:type="dxa"/>
            <w:gridSpan w:val="4"/>
          </w:tcPr>
          <w:p w14:paraId="29D16E61" w14:textId="77777777" w:rsidR="00505413" w:rsidRDefault="00D71A49">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Yukarıda belirtilen görev ve sorumlulukları gerçe</w:t>
            </w:r>
            <w:r w:rsidR="00B1145B">
              <w:rPr>
                <w:rFonts w:ascii="Times New Roman" w:eastAsia="Calibri" w:hAnsi="Times New Roman" w:cs="Times New Roman"/>
                <w:sz w:val="24"/>
                <w:szCs w:val="24"/>
              </w:rPr>
              <w:t>kleştirme yetkisine sahip olmak</w:t>
            </w:r>
            <w:r>
              <w:rPr>
                <w:rFonts w:ascii="Times New Roman" w:eastAsia="Calibri" w:hAnsi="Times New Roman" w:cs="Times New Roman"/>
                <w:sz w:val="24"/>
                <w:szCs w:val="24"/>
              </w:rPr>
              <w:t xml:space="preserve"> </w:t>
            </w:r>
          </w:p>
          <w:p w14:paraId="62844179" w14:textId="77777777" w:rsidR="00505413" w:rsidRDefault="00D71A49">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 xml:space="preserve">Faaliyetlerin gerçekleştirilmesi için gerekli araç ve gereci kullanabilmek. </w:t>
            </w:r>
          </w:p>
          <w:p w14:paraId="06D0AEAE" w14:textId="77777777" w:rsidR="00505413" w:rsidRDefault="00B1145B">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İmza yetkisine sahip olmak</w:t>
            </w:r>
            <w:r w:rsidR="00D71A49">
              <w:rPr>
                <w:rFonts w:ascii="Times New Roman" w:eastAsia="Calibri" w:hAnsi="Times New Roman" w:cs="Times New Roman"/>
                <w:sz w:val="24"/>
                <w:szCs w:val="24"/>
              </w:rPr>
              <w:t xml:space="preserve"> </w:t>
            </w:r>
          </w:p>
          <w:p w14:paraId="0EC9F605" w14:textId="77777777" w:rsidR="00505413" w:rsidRDefault="00B1145B">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Harcama yetkisi kullanmak</w:t>
            </w:r>
            <w:r w:rsidR="00D71A49">
              <w:rPr>
                <w:rFonts w:ascii="Times New Roman" w:eastAsia="Calibri" w:hAnsi="Times New Roman" w:cs="Times New Roman"/>
                <w:sz w:val="24"/>
                <w:szCs w:val="24"/>
              </w:rPr>
              <w:t xml:space="preserve"> </w:t>
            </w:r>
          </w:p>
          <w:p w14:paraId="74EFE91E" w14:textId="77777777" w:rsidR="00505413" w:rsidRDefault="00D71A49">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 xml:space="preserve">Emrindeki yönetici ve personele iş verme, yönlendirme, yaptıkları işleri kontrol etme, düzeltme, gerektiğinde uyarma, bilgi ve rapor isteme yetkisine sahip olmak. </w:t>
            </w:r>
          </w:p>
          <w:p w14:paraId="32CF12CB" w14:textId="77777777" w:rsidR="00505413" w:rsidRDefault="00D71A49">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 xml:space="preserve">Emrindeki yönetici ve personeli cezalandırma, ödüllendirme, sicil verme, eğitim verme, işini değiştirme ve izin verme yetkisine sahip olmak. </w:t>
            </w:r>
          </w:p>
          <w:p w14:paraId="4D10C8FE" w14:textId="77777777" w:rsidR="00505413" w:rsidRDefault="00D71A49">
            <w:pPr>
              <w:numPr>
                <w:ilvl w:val="0"/>
                <w:numId w:val="2"/>
              </w:numPr>
              <w:tabs>
                <w:tab w:val="clear" w:pos="720"/>
                <w:tab w:val="left" w:pos="1980"/>
              </w:tabs>
              <w:spacing w:after="0" w:line="240" w:lineRule="auto"/>
              <w:jc w:val="both"/>
              <w:rPr>
                <w:rFonts w:eastAsia="Calibri"/>
              </w:rPr>
            </w:pPr>
            <w:r>
              <w:rPr>
                <w:rFonts w:ascii="Times New Roman" w:eastAsia="Calibri" w:hAnsi="Times New Roman" w:cs="Times New Roman"/>
                <w:sz w:val="24"/>
                <w:szCs w:val="24"/>
              </w:rPr>
              <w:t xml:space="preserve">Kuruma alınacak personelin seçiminde değerlendirmeleri karara bağlama ve onaylama yetkisine sahip olmak. </w:t>
            </w:r>
          </w:p>
        </w:tc>
      </w:tr>
      <w:tr w:rsidR="00505413" w14:paraId="592B4B2E" w14:textId="77777777" w:rsidTr="00105F4D">
        <w:trPr>
          <w:trHeight w:val="423"/>
        </w:trPr>
        <w:tc>
          <w:tcPr>
            <w:tcW w:w="3556" w:type="dxa"/>
            <w:gridSpan w:val="2"/>
            <w:vAlign w:val="center"/>
          </w:tcPr>
          <w:p w14:paraId="27FEE145" w14:textId="77777777" w:rsidR="00505413" w:rsidRDefault="00D71A49">
            <w:pPr>
              <w:spacing w:after="0" w:line="240" w:lineRule="auto"/>
              <w:jc w:val="center"/>
              <w:rPr>
                <w:rFonts w:ascii="Times New Roman" w:hAnsi="Times New Roman" w:cs="Times New Roman"/>
                <w:sz w:val="24"/>
                <w:szCs w:val="24"/>
                <w:u w:val="single"/>
              </w:rPr>
            </w:pPr>
            <w:r>
              <w:rPr>
                <w:rFonts w:ascii="Times New Roman" w:eastAsia="Calibri" w:hAnsi="Times New Roman" w:cs="Times New Roman"/>
                <w:sz w:val="24"/>
                <w:szCs w:val="24"/>
                <w:u w:val="single"/>
              </w:rPr>
              <w:t>Hazırlayan</w:t>
            </w:r>
          </w:p>
        </w:tc>
        <w:tc>
          <w:tcPr>
            <w:tcW w:w="3397" w:type="dxa"/>
            <w:vAlign w:val="center"/>
          </w:tcPr>
          <w:p w14:paraId="7814E7AF" w14:textId="77777777" w:rsidR="00505413" w:rsidRDefault="00D71A49">
            <w:pPr>
              <w:spacing w:after="0" w:line="240" w:lineRule="auto"/>
              <w:jc w:val="center"/>
              <w:rPr>
                <w:rFonts w:ascii="Times New Roman" w:hAnsi="Times New Roman" w:cs="Times New Roman"/>
                <w:sz w:val="24"/>
                <w:szCs w:val="24"/>
                <w:u w:val="single"/>
              </w:rPr>
            </w:pPr>
            <w:r>
              <w:rPr>
                <w:rFonts w:ascii="Times New Roman" w:eastAsia="Calibri" w:hAnsi="Times New Roman" w:cs="Times New Roman"/>
                <w:sz w:val="24"/>
                <w:szCs w:val="24"/>
                <w:u w:val="single"/>
              </w:rPr>
              <w:t>Kontrol Eden</w:t>
            </w:r>
          </w:p>
        </w:tc>
        <w:tc>
          <w:tcPr>
            <w:tcW w:w="3397" w:type="dxa"/>
            <w:gridSpan w:val="2"/>
            <w:vAlign w:val="center"/>
          </w:tcPr>
          <w:p w14:paraId="550919B0" w14:textId="77777777" w:rsidR="00505413" w:rsidRDefault="00D71A49">
            <w:pPr>
              <w:spacing w:after="0" w:line="240" w:lineRule="auto"/>
              <w:jc w:val="center"/>
              <w:rPr>
                <w:rFonts w:ascii="Times New Roman" w:hAnsi="Times New Roman" w:cs="Times New Roman"/>
                <w:sz w:val="24"/>
                <w:szCs w:val="24"/>
                <w:u w:val="single"/>
              </w:rPr>
            </w:pPr>
            <w:r>
              <w:rPr>
                <w:rFonts w:ascii="Times New Roman" w:eastAsia="Calibri" w:hAnsi="Times New Roman" w:cs="Times New Roman"/>
                <w:sz w:val="24"/>
                <w:szCs w:val="24"/>
                <w:u w:val="single"/>
              </w:rPr>
              <w:t>Onaylayan</w:t>
            </w:r>
          </w:p>
        </w:tc>
      </w:tr>
      <w:tr w:rsidR="00505413" w14:paraId="7B01C462" w14:textId="77777777" w:rsidTr="00105F4D">
        <w:trPr>
          <w:trHeight w:val="397"/>
        </w:trPr>
        <w:tc>
          <w:tcPr>
            <w:tcW w:w="3556" w:type="dxa"/>
            <w:gridSpan w:val="2"/>
            <w:vAlign w:val="center"/>
          </w:tcPr>
          <w:p w14:paraId="01DAB28C" w14:textId="77777777" w:rsidR="00505413" w:rsidRDefault="00D71A49">
            <w:pPr>
              <w:spacing w:after="0" w:line="240" w:lineRule="auto"/>
              <w:jc w:val="center"/>
              <w:rPr>
                <w:rFonts w:ascii="Times New Roman" w:hAnsi="Times New Roman" w:cs="Times New Roman"/>
                <w:sz w:val="24"/>
                <w:szCs w:val="24"/>
              </w:rPr>
            </w:pPr>
            <w:bookmarkStart w:id="0" w:name="_GoBack"/>
            <w:bookmarkEnd w:id="0"/>
            <w:r>
              <w:rPr>
                <w:rFonts w:ascii="Times New Roman" w:eastAsia="Calibri" w:hAnsi="Times New Roman" w:cs="Times New Roman"/>
                <w:sz w:val="24"/>
                <w:szCs w:val="24"/>
              </w:rPr>
              <w:t>Fakülte Sekreteri</w:t>
            </w:r>
          </w:p>
        </w:tc>
        <w:tc>
          <w:tcPr>
            <w:tcW w:w="3397" w:type="dxa"/>
            <w:vAlign w:val="center"/>
          </w:tcPr>
          <w:p w14:paraId="3E0057A9" w14:textId="77777777" w:rsidR="00505413" w:rsidRDefault="00D71A4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Dekan Yardımcısı</w:t>
            </w:r>
          </w:p>
        </w:tc>
        <w:tc>
          <w:tcPr>
            <w:tcW w:w="3397" w:type="dxa"/>
            <w:gridSpan w:val="2"/>
            <w:vAlign w:val="center"/>
          </w:tcPr>
          <w:p w14:paraId="2E2FCE15" w14:textId="77777777" w:rsidR="00505413" w:rsidRDefault="00D71A4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Dekan</w:t>
            </w:r>
          </w:p>
        </w:tc>
      </w:tr>
    </w:tbl>
    <w:p w14:paraId="0DD7CBC1" w14:textId="77777777" w:rsidR="00505413" w:rsidRDefault="00505413">
      <w:pPr>
        <w:tabs>
          <w:tab w:val="left" w:pos="4995"/>
        </w:tabs>
      </w:pPr>
    </w:p>
    <w:sectPr w:rsidR="0050541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049E4"/>
    <w:multiLevelType w:val="multilevel"/>
    <w:tmpl w:val="D3921E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1F423C8"/>
    <w:multiLevelType w:val="multilevel"/>
    <w:tmpl w:val="D3921E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F116CA6"/>
    <w:multiLevelType w:val="multilevel"/>
    <w:tmpl w:val="E24628B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F536373"/>
    <w:multiLevelType w:val="multilevel"/>
    <w:tmpl w:val="09EC0F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413"/>
    <w:rsid w:val="00105F4D"/>
    <w:rsid w:val="002810CD"/>
    <w:rsid w:val="004D0EF6"/>
    <w:rsid w:val="00505413"/>
    <w:rsid w:val="00AA54F6"/>
    <w:rsid w:val="00B1145B"/>
    <w:rsid w:val="00CD5258"/>
    <w:rsid w:val="00D71A49"/>
    <w:rsid w:val="00E34F80"/>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BBF0"/>
  <w15:docId w15:val="{3C991B72-31CF-45C9-A264-A6DE8B7C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sid w:val="00CE6D0D"/>
    <w:rPr>
      <w:sz w:val="16"/>
      <w:szCs w:val="16"/>
    </w:rPr>
  </w:style>
  <w:style w:type="character" w:customStyle="1" w:styleId="AklamaMetniChar">
    <w:name w:val="Açıklama Metni Char"/>
    <w:basedOn w:val="VarsaylanParagrafYazTipi"/>
    <w:link w:val="AklamaMetni"/>
    <w:uiPriority w:val="99"/>
    <w:semiHidden/>
    <w:qFormat/>
    <w:rsid w:val="00CE6D0D"/>
    <w:rPr>
      <w:sz w:val="20"/>
      <w:szCs w:val="20"/>
    </w:rPr>
  </w:style>
  <w:style w:type="character" w:customStyle="1" w:styleId="AklamaKonusuChar">
    <w:name w:val="Açıklama Konusu Char"/>
    <w:basedOn w:val="AklamaMetniChar"/>
    <w:link w:val="AklamaKonusu"/>
    <w:uiPriority w:val="99"/>
    <w:semiHidden/>
    <w:qFormat/>
    <w:rsid w:val="00CE6D0D"/>
    <w:rPr>
      <w:b/>
      <w:bCs/>
      <w:sz w:val="20"/>
      <w:szCs w:val="20"/>
    </w:rPr>
  </w:style>
  <w:style w:type="character" w:customStyle="1" w:styleId="BalonMetniChar">
    <w:name w:val="Balon Metni Char"/>
    <w:basedOn w:val="VarsaylanParagrafYazTipi"/>
    <w:link w:val="BalonMetni"/>
    <w:uiPriority w:val="99"/>
    <w:semiHidden/>
    <w:qFormat/>
    <w:rsid w:val="00CE6D0D"/>
    <w:rPr>
      <w:rFonts w:ascii="Segoe UI" w:hAnsi="Segoe UI" w:cs="Segoe UI"/>
      <w:sz w:val="18"/>
      <w:szCs w:val="18"/>
    </w:rPr>
  </w:style>
  <w:style w:type="character" w:customStyle="1" w:styleId="GvdeMetniChar">
    <w:name w:val="Gövde Metni Char"/>
    <w:basedOn w:val="VarsaylanParagrafYazTipi"/>
    <w:link w:val="GvdeMetni"/>
    <w:uiPriority w:val="1"/>
    <w:qFormat/>
    <w:rsid w:val="00B23323"/>
    <w:rPr>
      <w:rFonts w:ascii="Times New Roman" w:eastAsia="Times New Roman" w:hAnsi="Times New Roman" w:cs="Times New Roman"/>
      <w:sz w:val="24"/>
      <w:szCs w:val="24"/>
      <w:lang w:eastAsia="tr-TR" w:bidi="tr-TR"/>
    </w:rPr>
  </w:style>
  <w:style w:type="character" w:customStyle="1" w:styleId="Maddeimleri">
    <w:name w:val="Madde imleri"/>
    <w:qFormat/>
    <w:rPr>
      <w:rFonts w:ascii="OpenSymbol" w:eastAsia="OpenSymbol" w:hAnsi="OpenSymbol" w:cs="OpenSymbol"/>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link w:val="GvdeMetniChar"/>
    <w:uiPriority w:val="1"/>
    <w:qFormat/>
    <w:rsid w:val="00B23323"/>
    <w:pPr>
      <w:widowControl w:val="0"/>
      <w:spacing w:before="120" w:after="0" w:line="240" w:lineRule="auto"/>
      <w:ind w:left="936" w:hanging="360"/>
    </w:pPr>
    <w:rPr>
      <w:rFonts w:ascii="Times New Roman" w:eastAsia="Times New Roman" w:hAnsi="Times New Roman" w:cs="Times New Roman"/>
      <w:sz w:val="24"/>
      <w:szCs w:val="24"/>
      <w:lang w:eastAsia="tr-TR" w:bidi="tr-TR"/>
    </w:r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ListeParagraf">
    <w:name w:val="List Paragraph"/>
    <w:basedOn w:val="Normal"/>
    <w:uiPriority w:val="1"/>
    <w:qFormat/>
    <w:rsid w:val="00F020E8"/>
    <w:pPr>
      <w:ind w:left="720"/>
      <w:contextualSpacing/>
    </w:pPr>
  </w:style>
  <w:style w:type="paragraph" w:styleId="AklamaMetni">
    <w:name w:val="annotation text"/>
    <w:basedOn w:val="Normal"/>
    <w:link w:val="AklamaMetniChar"/>
    <w:uiPriority w:val="99"/>
    <w:semiHidden/>
    <w:unhideWhenUsed/>
    <w:qFormat/>
    <w:rsid w:val="00CE6D0D"/>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sid w:val="00CE6D0D"/>
    <w:rPr>
      <w:b/>
      <w:bCs/>
    </w:rPr>
  </w:style>
  <w:style w:type="paragraph" w:styleId="BalonMetni">
    <w:name w:val="Balloon Text"/>
    <w:basedOn w:val="Normal"/>
    <w:link w:val="BalonMetniChar"/>
    <w:uiPriority w:val="99"/>
    <w:semiHidden/>
    <w:unhideWhenUsed/>
    <w:qFormat/>
    <w:rsid w:val="00CE6D0D"/>
    <w:pPr>
      <w:spacing w:after="0" w:line="240" w:lineRule="auto"/>
    </w:pPr>
    <w:rPr>
      <w:rFonts w:ascii="Segoe UI" w:hAnsi="Segoe UI" w:cs="Segoe UI"/>
      <w:sz w:val="18"/>
      <w:szCs w:val="18"/>
    </w:rPr>
  </w:style>
  <w:style w:type="paragraph" w:customStyle="1" w:styleId="TableParagraph">
    <w:name w:val="Table Paragraph"/>
    <w:basedOn w:val="Normal"/>
    <w:qFormat/>
  </w:style>
  <w:style w:type="paragraph" w:customStyle="1" w:styleId="Balk11">
    <w:name w:val="Başlık 11"/>
    <w:basedOn w:val="Normal"/>
    <w:qFormat/>
    <w:pPr>
      <w:spacing w:before="74" w:after="0"/>
      <w:ind w:left="116"/>
      <w:outlineLvl w:val="1"/>
    </w:pPr>
    <w:rPr>
      <w:b/>
      <w:bCs/>
      <w:sz w:val="24"/>
      <w:szCs w:val="24"/>
    </w:rPr>
  </w:style>
  <w:style w:type="table" w:styleId="TabloKlavuzu">
    <w:name w:val="Table Grid"/>
    <w:basedOn w:val="NormalTablo"/>
    <w:uiPriority w:val="39"/>
    <w:rsid w:val="00190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6B0C-8406-475F-B874-246B25A0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Sünbü</dc:creator>
  <cp:lastModifiedBy>Mustafa</cp:lastModifiedBy>
  <cp:revision>5</cp:revision>
  <dcterms:created xsi:type="dcterms:W3CDTF">2024-09-05T15:48:00Z</dcterms:created>
  <dcterms:modified xsi:type="dcterms:W3CDTF">2026-05-18T06:49:00Z</dcterms:modified>
  <dc:language>tr-TR</dc:language>
</cp:coreProperties>
</file>